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b w:val="1"/>
        </w:rPr>
      </w:pPr>
      <w:r w:rsidDel="00000000" w:rsidR="00000000" w:rsidRPr="00000000">
        <w:rPr>
          <w:rFonts w:ascii="Comfortaa" w:cs="Comfortaa" w:eastAsia="Comfortaa" w:hAnsi="Comfortaa"/>
          <w:b w:val="1"/>
          <w:rtl w:val="0"/>
        </w:rPr>
        <w:t xml:space="preserve">Early Years Curriculum </w:t>
      </w:r>
    </w:p>
    <w:p w:rsidR="00000000" w:rsidDel="00000000" w:rsidP="00000000" w:rsidRDefault="00000000" w:rsidRPr="00000000" w14:paraId="00000002">
      <w:pPr>
        <w:rPr>
          <w:rFonts w:ascii="Comfortaa" w:cs="Comfortaa" w:eastAsia="Comfortaa" w:hAnsi="Comfortaa"/>
          <w:i w:val="1"/>
        </w:rPr>
      </w:pPr>
      <w:r w:rsidDel="00000000" w:rsidR="00000000" w:rsidRPr="00000000">
        <w:rPr>
          <w:rFonts w:ascii="Comfortaa" w:cs="Comfortaa" w:eastAsia="Comfortaa" w:hAnsi="Comfortaa"/>
          <w:b w:val="1"/>
          <w:rtl w:val="0"/>
        </w:rPr>
        <w:t xml:space="preserve">Mathematics  </w:t>
      </w:r>
      <w:r w:rsidDel="00000000" w:rsidR="00000000" w:rsidRPr="00000000">
        <w:rPr>
          <w:rtl w:val="0"/>
        </w:rPr>
      </w:r>
    </w:p>
    <w:p w:rsidR="00000000" w:rsidDel="00000000" w:rsidP="00000000" w:rsidRDefault="00000000" w:rsidRPr="00000000" w14:paraId="00000003">
      <w:pPr>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At Victoria Road the Early Years Curriculum is research based, understanding that Birth to 5 is a unique neurological and developmental phase. The curriculum plans for concrete learning experiences, the opportunity to revisit ideas in a variety of contexts and the embedding of learning behaviours which underpin the Characteristics of Effective Learning. In the Early Years learning is not compartmentalised and everything links.</w:t>
      </w:r>
    </w:p>
    <w:p w:rsidR="00000000" w:rsidDel="00000000" w:rsidP="00000000" w:rsidRDefault="00000000" w:rsidRPr="00000000" w14:paraId="00000004">
      <w:pPr>
        <w:jc w:val="left"/>
        <w:rPr>
          <w:rFonts w:ascii="Comfortaa" w:cs="Comfortaa" w:eastAsia="Comfortaa" w:hAnsi="Comfortaa"/>
          <w:i w:val="1"/>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-133348</wp:posOffset>
            </wp:positionH>
            <wp:positionV relativeFrom="paragraph">
              <wp:posOffset>123520</wp:posOffset>
            </wp:positionV>
            <wp:extent cx="1976438" cy="1625071"/>
            <wp:effectExtent b="38100" l="38100" r="38100" t="3810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76438" cy="1625071"/>
                    </a:xfrm>
                    <a:prstGeom prst="rect"/>
                    <a:ln w="38100">
                      <a:solidFill>
                        <a:srgbClr val="666666"/>
                      </a:solidFill>
                      <a:prstDash val="solid"/>
                    </a:ln>
                  </pic:spPr>
                </pic:pic>
              </a:graphicData>
            </a:graphic>
          </wp:anchor>
        </w:drawing>
      </w:r>
    </w:p>
    <w:p w:rsidR="00000000" w:rsidDel="00000000" w:rsidP="00000000" w:rsidRDefault="00000000" w:rsidRPr="00000000" w14:paraId="00000005">
      <w:pPr>
        <w:jc w:val="center"/>
        <w:rPr>
          <w:rFonts w:ascii="Comfortaa" w:cs="Comfortaa" w:eastAsia="Comfortaa" w:hAnsi="Comfortaa"/>
          <w:b w:val="1"/>
          <w:sz w:val="16"/>
          <w:szCs w:val="16"/>
        </w:rPr>
      </w:pPr>
      <w:r w:rsidDel="00000000" w:rsidR="00000000" w:rsidRPr="00000000">
        <w:rPr>
          <w:rFonts w:ascii="Comfortaa" w:cs="Comfortaa" w:eastAsia="Comfortaa" w:hAnsi="Comfortaa"/>
          <w:sz w:val="16"/>
          <w:szCs w:val="16"/>
          <w:rtl w:val="0"/>
        </w:rPr>
        <w:t xml:space="preserve">Our Early Years Curriculum is based around the Early Excellence Triangle Model which divides learning into three strands, </w:t>
      </w:r>
      <w:r w:rsidDel="00000000" w:rsidR="00000000" w:rsidRPr="00000000">
        <w:rPr>
          <w:rFonts w:ascii="Comfortaa" w:cs="Comfortaa" w:eastAsia="Comfortaa" w:hAnsi="Comfortaa"/>
          <w:b w:val="1"/>
          <w:sz w:val="16"/>
          <w:szCs w:val="16"/>
          <w:rtl w:val="0"/>
        </w:rPr>
        <w:t xml:space="preserve">Continuous Provision,</w:t>
      </w:r>
      <w:r w:rsidDel="00000000" w:rsidR="00000000" w:rsidRPr="00000000">
        <w:rPr>
          <w:rFonts w:ascii="Comfortaa" w:cs="Comfortaa" w:eastAsia="Comfortaa" w:hAnsi="Comfortaa"/>
          <w:sz w:val="16"/>
          <w:szCs w:val="16"/>
          <w:rtl w:val="0"/>
        </w:rPr>
        <w:t xml:space="preserve"> </w:t>
      </w:r>
      <w:r w:rsidDel="00000000" w:rsidR="00000000" w:rsidRPr="00000000">
        <w:rPr>
          <w:rFonts w:ascii="Comfortaa" w:cs="Comfortaa" w:eastAsia="Comfortaa" w:hAnsi="Comfortaa"/>
          <w:b w:val="1"/>
          <w:sz w:val="16"/>
          <w:szCs w:val="16"/>
          <w:rtl w:val="0"/>
        </w:rPr>
        <w:t xml:space="preserve">Enhanced Provision</w:t>
      </w:r>
      <w:r w:rsidDel="00000000" w:rsidR="00000000" w:rsidRPr="00000000">
        <w:rPr>
          <w:rFonts w:ascii="Comfortaa" w:cs="Comfortaa" w:eastAsia="Comfortaa" w:hAnsi="Comfortaa"/>
          <w:sz w:val="16"/>
          <w:szCs w:val="16"/>
          <w:rtl w:val="0"/>
        </w:rPr>
        <w:t xml:space="preserve"> and </w:t>
      </w:r>
      <w:r w:rsidDel="00000000" w:rsidR="00000000" w:rsidRPr="00000000">
        <w:rPr>
          <w:rFonts w:ascii="Comfortaa" w:cs="Comfortaa" w:eastAsia="Comfortaa" w:hAnsi="Comfortaa"/>
          <w:b w:val="1"/>
          <w:sz w:val="16"/>
          <w:szCs w:val="16"/>
          <w:rtl w:val="0"/>
        </w:rPr>
        <w:t xml:space="preserve">Directed Activities.</w:t>
      </w:r>
    </w:p>
    <w:p w:rsidR="00000000" w:rsidDel="00000000" w:rsidP="00000000" w:rsidRDefault="00000000" w:rsidRPr="00000000" w14:paraId="00000006">
      <w:pPr>
        <w:jc w:val="center"/>
        <w:rPr>
          <w:rFonts w:ascii="Comfortaa" w:cs="Comfortaa" w:eastAsia="Comfortaa" w:hAnsi="Comfortaa"/>
          <w:b w:val="1"/>
          <w:sz w:val="16"/>
          <w:szCs w:val="16"/>
        </w:rPr>
      </w:pPr>
      <w:r w:rsidDel="00000000" w:rsidR="00000000" w:rsidRPr="00000000">
        <w:rPr>
          <w:rtl w:val="0"/>
        </w:rPr>
      </w:r>
    </w:p>
    <w:p w:rsidR="00000000" w:rsidDel="00000000" w:rsidP="00000000" w:rsidRDefault="00000000" w:rsidRPr="00000000" w14:paraId="00000007">
      <w:pPr>
        <w:jc w:val="center"/>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In the Early Years children’s </w:t>
      </w:r>
      <w:r w:rsidDel="00000000" w:rsidR="00000000" w:rsidRPr="00000000">
        <w:rPr>
          <w:rFonts w:ascii="Comfortaa" w:cs="Comfortaa" w:eastAsia="Comfortaa" w:hAnsi="Comfortaa"/>
          <w:b w:val="1"/>
          <w:sz w:val="16"/>
          <w:szCs w:val="16"/>
          <w:rtl w:val="0"/>
        </w:rPr>
        <w:t xml:space="preserve">Mathematical knowledge</w:t>
      </w:r>
      <w:r w:rsidDel="00000000" w:rsidR="00000000" w:rsidRPr="00000000">
        <w:rPr>
          <w:rFonts w:ascii="Comfortaa" w:cs="Comfortaa" w:eastAsia="Comfortaa" w:hAnsi="Comfortaa"/>
          <w:sz w:val="16"/>
          <w:szCs w:val="16"/>
          <w:rtl w:val="0"/>
        </w:rPr>
        <w:t xml:space="preserve"> is developed through </w:t>
      </w:r>
      <w:r w:rsidDel="00000000" w:rsidR="00000000" w:rsidRPr="00000000">
        <w:rPr>
          <w:rFonts w:ascii="Comfortaa" w:cs="Comfortaa" w:eastAsia="Comfortaa" w:hAnsi="Comfortaa"/>
          <w:b w:val="1"/>
          <w:sz w:val="16"/>
          <w:szCs w:val="16"/>
          <w:rtl w:val="0"/>
        </w:rPr>
        <w:t xml:space="preserve">All Strands of the Curriculum Triangle </w:t>
      </w:r>
      <w:r w:rsidDel="00000000" w:rsidR="00000000" w:rsidRPr="00000000">
        <w:rPr>
          <w:rFonts w:ascii="Comfortaa" w:cs="Comfortaa" w:eastAsia="Comfortaa" w:hAnsi="Comfortaa"/>
          <w:sz w:val="16"/>
          <w:szCs w:val="16"/>
          <w:rtl w:val="0"/>
        </w:rPr>
        <w:t xml:space="preserve">  with whole class </w:t>
      </w:r>
      <w:r w:rsidDel="00000000" w:rsidR="00000000" w:rsidRPr="00000000">
        <w:rPr>
          <w:rFonts w:ascii="Comfortaa" w:cs="Comfortaa" w:eastAsia="Comfortaa" w:hAnsi="Comfortaa"/>
          <w:b w:val="1"/>
          <w:sz w:val="16"/>
          <w:szCs w:val="16"/>
          <w:rtl w:val="0"/>
        </w:rPr>
        <w:t xml:space="preserve">Directed Activities </w:t>
      </w:r>
      <w:r w:rsidDel="00000000" w:rsidR="00000000" w:rsidRPr="00000000">
        <w:rPr>
          <w:rFonts w:ascii="Comfortaa" w:cs="Comfortaa" w:eastAsia="Comfortaa" w:hAnsi="Comfortaa"/>
          <w:sz w:val="16"/>
          <w:szCs w:val="16"/>
          <w:rtl w:val="0"/>
        </w:rPr>
        <w:t xml:space="preserve">following the </w:t>
      </w:r>
      <w:r w:rsidDel="00000000" w:rsidR="00000000" w:rsidRPr="00000000">
        <w:rPr>
          <w:rFonts w:ascii="Comfortaa" w:cs="Comfortaa" w:eastAsia="Comfortaa" w:hAnsi="Comfortaa"/>
          <w:b w:val="1"/>
          <w:sz w:val="16"/>
          <w:szCs w:val="16"/>
          <w:rtl w:val="0"/>
        </w:rPr>
        <w:t xml:space="preserve">Mastering Number Approach </w:t>
      </w:r>
      <w:r w:rsidDel="00000000" w:rsidR="00000000" w:rsidRPr="00000000">
        <w:rPr>
          <w:rFonts w:ascii="Comfortaa" w:cs="Comfortaa" w:eastAsia="Comfortaa" w:hAnsi="Comfortaa"/>
          <w:sz w:val="16"/>
          <w:szCs w:val="16"/>
          <w:rtl w:val="0"/>
        </w:rPr>
        <w:t xml:space="preserve">and through child initiated  in both the  </w:t>
      </w:r>
      <w:r w:rsidDel="00000000" w:rsidR="00000000" w:rsidRPr="00000000">
        <w:rPr>
          <w:rFonts w:ascii="Comfortaa" w:cs="Comfortaa" w:eastAsia="Comfortaa" w:hAnsi="Comfortaa"/>
          <w:b w:val="1"/>
          <w:sz w:val="16"/>
          <w:szCs w:val="16"/>
          <w:rtl w:val="0"/>
        </w:rPr>
        <w:t xml:space="preserve">Continuous Provision</w:t>
      </w:r>
      <w:r w:rsidDel="00000000" w:rsidR="00000000" w:rsidRPr="00000000">
        <w:rPr>
          <w:rFonts w:ascii="Comfortaa" w:cs="Comfortaa" w:eastAsia="Comfortaa" w:hAnsi="Comfortaa"/>
          <w:sz w:val="16"/>
          <w:szCs w:val="16"/>
          <w:rtl w:val="0"/>
        </w:rPr>
        <w:t xml:space="preserve"> and </w:t>
      </w:r>
      <w:r w:rsidDel="00000000" w:rsidR="00000000" w:rsidRPr="00000000">
        <w:rPr>
          <w:rFonts w:ascii="Comfortaa" w:cs="Comfortaa" w:eastAsia="Comfortaa" w:hAnsi="Comfortaa"/>
          <w:b w:val="1"/>
          <w:sz w:val="16"/>
          <w:szCs w:val="16"/>
          <w:rtl w:val="0"/>
        </w:rPr>
        <w:t xml:space="preserve">Enhanced Provision. </w:t>
      </w:r>
      <w:r w:rsidDel="00000000" w:rsidR="00000000" w:rsidRPr="00000000">
        <w:rPr>
          <w:rFonts w:ascii="Comfortaa" w:cs="Comfortaa" w:eastAsia="Comfortaa" w:hAnsi="Comfortaa"/>
          <w:sz w:val="16"/>
          <w:szCs w:val="16"/>
          <w:rtl w:val="0"/>
        </w:rPr>
        <w:t xml:space="preserve">Through enhancements, opportunities are made available for children to revisit key concepts that have been taught during whole class directed activities, this may include enhancements that have been used as part of the input for example a set of five frogs and a pond when exploring how to partition the number 5. We understand that numbers can be accessed throughout  the provision, however a carefully resourced</w:t>
      </w:r>
      <w:r w:rsidDel="00000000" w:rsidR="00000000" w:rsidRPr="00000000">
        <w:rPr>
          <w:rFonts w:ascii="Comfortaa" w:cs="Comfortaa" w:eastAsia="Comfortaa" w:hAnsi="Comfortaa"/>
          <w:b w:val="1"/>
          <w:sz w:val="16"/>
          <w:szCs w:val="16"/>
          <w:rtl w:val="0"/>
        </w:rPr>
        <w:t xml:space="preserve"> Number Area</w:t>
      </w:r>
      <w:r w:rsidDel="00000000" w:rsidR="00000000" w:rsidRPr="00000000">
        <w:rPr>
          <w:rFonts w:ascii="Comfortaa" w:cs="Comfortaa" w:eastAsia="Comfortaa" w:hAnsi="Comfortaa"/>
          <w:sz w:val="16"/>
          <w:szCs w:val="16"/>
          <w:rtl w:val="0"/>
        </w:rPr>
        <w:t xml:space="preserve"> is continuously available for children to explore, represent   and make sense of concepts including how numbers are composed through self initiated play. In addition, we want to broaden our Early Years Mathematical curriculum to ensure that children are exposed to experiences, concepts and language related to </w:t>
      </w:r>
      <w:r w:rsidDel="00000000" w:rsidR="00000000" w:rsidRPr="00000000">
        <w:rPr>
          <w:rFonts w:ascii="Comfortaa" w:cs="Comfortaa" w:eastAsia="Comfortaa" w:hAnsi="Comfortaa"/>
          <w:b w:val="1"/>
          <w:sz w:val="16"/>
          <w:szCs w:val="16"/>
          <w:rtl w:val="0"/>
        </w:rPr>
        <w:t xml:space="preserve">Shape, Space and Measure. </w:t>
      </w:r>
      <w:r w:rsidDel="00000000" w:rsidR="00000000" w:rsidRPr="00000000">
        <w:rPr>
          <w:rFonts w:ascii="Comfortaa" w:cs="Comfortaa" w:eastAsia="Comfortaa" w:hAnsi="Comfortaa"/>
          <w:sz w:val="16"/>
          <w:szCs w:val="16"/>
          <w:rtl w:val="0"/>
        </w:rPr>
        <w:t xml:space="preserve">Through our </w:t>
      </w:r>
      <w:r w:rsidDel="00000000" w:rsidR="00000000" w:rsidRPr="00000000">
        <w:rPr>
          <w:rFonts w:ascii="Comfortaa" w:cs="Comfortaa" w:eastAsia="Comfortaa" w:hAnsi="Comfortaa"/>
          <w:b w:val="1"/>
          <w:sz w:val="16"/>
          <w:szCs w:val="16"/>
          <w:rtl w:val="0"/>
        </w:rPr>
        <w:t xml:space="preserve">Continuous Provision </w:t>
      </w:r>
      <w:r w:rsidDel="00000000" w:rsidR="00000000" w:rsidRPr="00000000">
        <w:rPr>
          <w:rFonts w:ascii="Comfortaa" w:cs="Comfortaa" w:eastAsia="Comfortaa" w:hAnsi="Comfortaa"/>
          <w:sz w:val="16"/>
          <w:szCs w:val="16"/>
          <w:rtl w:val="0"/>
        </w:rPr>
        <w:t xml:space="preserve">children have the opportunity to explore the properties of 2D and 3D shapes and are exposed to language to support and scaffold  their thinking. For example, “</w:t>
      </w:r>
      <w:r w:rsidDel="00000000" w:rsidR="00000000" w:rsidRPr="00000000">
        <w:rPr>
          <w:rFonts w:ascii="Comfortaa" w:cs="Comfortaa" w:eastAsia="Comfortaa" w:hAnsi="Comfortaa"/>
          <w:i w:val="1"/>
          <w:sz w:val="16"/>
          <w:szCs w:val="16"/>
          <w:rtl w:val="0"/>
        </w:rPr>
        <w:t xml:space="preserve">the cuboid would be a good choice to build because it has a flat face so will not roll.” </w:t>
      </w:r>
      <w:r w:rsidDel="00000000" w:rsidR="00000000" w:rsidRPr="00000000">
        <w:rPr>
          <w:rFonts w:ascii="Comfortaa" w:cs="Comfortaa" w:eastAsia="Comfortaa" w:hAnsi="Comfortaa"/>
          <w:sz w:val="16"/>
          <w:szCs w:val="16"/>
          <w:rtl w:val="0"/>
        </w:rPr>
        <w:t xml:space="preserve">In addition through self exploration children can experience comparison and measurement with increasing accuracy.</w:t>
      </w:r>
    </w:p>
    <w:p w:rsidR="00000000" w:rsidDel="00000000" w:rsidP="00000000" w:rsidRDefault="00000000" w:rsidRPr="00000000" w14:paraId="00000008">
      <w:pPr>
        <w:jc w:val="center"/>
        <w:rPr>
          <w:rFonts w:ascii="Comfortaa" w:cs="Comfortaa" w:eastAsia="Comfortaa" w:hAnsi="Comfortaa"/>
          <w:sz w:val="16"/>
          <w:szCs w:val="16"/>
        </w:rPr>
      </w:pPr>
      <w:r w:rsidDel="00000000" w:rsidR="00000000" w:rsidRPr="00000000">
        <w:rPr>
          <w:rtl w:val="0"/>
        </w:rPr>
      </w:r>
    </w:p>
    <w:tbl>
      <w:tblPr>
        <w:tblStyle w:val="Table1"/>
        <w:tblW w:w="129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4650"/>
        <w:gridCol w:w="6885"/>
        <w:tblGridChange w:id="0">
          <w:tblGrid>
            <w:gridCol w:w="1440"/>
            <w:gridCol w:w="4650"/>
            <w:gridCol w:w="6885"/>
          </w:tblGrid>
        </w:tblGridChange>
      </w:tblGrid>
      <w:tr>
        <w:trPr>
          <w:cantSplit w:val="0"/>
          <w:trHeight w:val="480"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fortaa" w:cs="Comfortaa" w:eastAsia="Comfortaa" w:hAnsi="Comfortaa"/>
                <w:i w:val="1"/>
                <w:sz w:val="16"/>
                <w:szCs w:val="16"/>
              </w:rPr>
            </w:pPr>
            <w:r w:rsidDel="00000000" w:rsidR="00000000" w:rsidRPr="00000000">
              <w:rPr>
                <w:rFonts w:ascii="Comfortaa" w:cs="Comfortaa" w:eastAsia="Comfortaa" w:hAnsi="Comfortaa"/>
                <w:b w:val="1"/>
                <w:sz w:val="16"/>
                <w:szCs w:val="16"/>
                <w:rtl w:val="0"/>
              </w:rPr>
              <w:t xml:space="preserve">Links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ELG 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Key Stage 1 National Curriculum</w:t>
            </w:r>
          </w:p>
        </w:tc>
      </w:tr>
      <w:tr>
        <w:trPr>
          <w:cantSplit w:val="0"/>
          <w:trHeight w:val="3647.5999999999995"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fortaa" w:cs="Comfortaa" w:eastAsia="Comfortaa" w:hAnsi="Comfortaa"/>
                <w:i w:val="1"/>
                <w:sz w:val="16"/>
                <w:szCs w:val="16"/>
              </w:rPr>
            </w:pPr>
            <w:r w:rsidDel="00000000" w:rsidR="00000000" w:rsidRPr="00000000">
              <w:rPr>
                <w:rFonts w:ascii="Comfortaa" w:cs="Comfortaa" w:eastAsia="Comfortaa" w:hAnsi="Comfortaa"/>
                <w:i w:val="1"/>
                <w:sz w:val="16"/>
                <w:szCs w:val="16"/>
                <w:rtl w:val="0"/>
              </w:rPr>
              <w:t xml:space="preserve">DA</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fortaa" w:cs="Comfortaa" w:eastAsia="Comfortaa" w:hAnsi="Comfortaa"/>
                <w:i w:val="1"/>
                <w:sz w:val="16"/>
                <w:szCs w:val="16"/>
              </w:rPr>
            </w:pPr>
            <w:hyperlink r:id="rId8">
              <w:r w:rsidDel="00000000" w:rsidR="00000000" w:rsidRPr="00000000">
                <w:rPr>
                  <w:rFonts w:ascii="Comfortaa" w:cs="Comfortaa" w:eastAsia="Comfortaa" w:hAnsi="Comfortaa"/>
                  <w:i w:val="1"/>
                  <w:color w:val="1155cc"/>
                  <w:sz w:val="16"/>
                  <w:szCs w:val="16"/>
                  <w:u w:val="single"/>
                  <w:rtl w:val="0"/>
                </w:rPr>
                <w:t xml:space="preserve">Overview</w:t>
              </w:r>
            </w:hyperlink>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fortaa" w:cs="Comfortaa" w:eastAsia="Comfortaa" w:hAnsi="Comfortaa"/>
                <w:i w:val="1"/>
                <w:sz w:val="16"/>
                <w:szCs w:val="16"/>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fortaa" w:cs="Comfortaa" w:eastAsia="Comfortaa" w:hAnsi="Comfortaa"/>
                <w:i w:val="1"/>
                <w:sz w:val="16"/>
                <w:szCs w:val="16"/>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fortaa" w:cs="Comfortaa" w:eastAsia="Comfortaa" w:hAnsi="Comfortaa"/>
                <w:i w:val="1"/>
                <w:sz w:val="16"/>
                <w:szCs w:val="16"/>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fortaa" w:cs="Comfortaa" w:eastAsia="Comfortaa" w:hAnsi="Comfortaa"/>
                <w:i w:val="1"/>
                <w:sz w:val="16"/>
                <w:szCs w:val="16"/>
              </w:rPr>
            </w:pPr>
            <w:r w:rsidDel="00000000" w:rsidR="00000000" w:rsidRPr="00000000">
              <w:rPr>
                <w:rFonts w:ascii="Comfortaa" w:cs="Comfortaa" w:eastAsia="Comfortaa" w:hAnsi="Comfortaa"/>
                <w:i w:val="1"/>
                <w:sz w:val="16"/>
                <w:szCs w:val="16"/>
                <w:rtl w:val="0"/>
              </w:rPr>
              <w:t xml:space="preserve">CP</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fortaa" w:cs="Comfortaa" w:eastAsia="Comfortaa" w:hAnsi="Comfortaa"/>
                <w:i w:val="1"/>
                <w:sz w:val="16"/>
                <w:szCs w:val="16"/>
              </w:rPr>
            </w:pPr>
            <w:hyperlink r:id="rId9">
              <w:r w:rsidDel="00000000" w:rsidR="00000000" w:rsidRPr="00000000">
                <w:rPr>
                  <w:rFonts w:ascii="Comfortaa" w:cs="Comfortaa" w:eastAsia="Comfortaa" w:hAnsi="Comfortaa"/>
                  <w:i w:val="1"/>
                  <w:color w:val="1155cc"/>
                  <w:sz w:val="16"/>
                  <w:szCs w:val="16"/>
                  <w:u w:val="single"/>
                  <w:rtl w:val="0"/>
                </w:rPr>
                <w:t xml:space="preserve">Maths Area </w:t>
              </w:r>
            </w:hyperlink>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fortaa" w:cs="Comfortaa" w:eastAsia="Comfortaa" w:hAnsi="Comfortaa"/>
                <w:i w:val="1"/>
                <w:sz w:val="16"/>
                <w:szCs w:val="16"/>
              </w:rPr>
            </w:pPr>
            <w:hyperlink r:id="rId10">
              <w:r w:rsidDel="00000000" w:rsidR="00000000" w:rsidRPr="00000000">
                <w:rPr>
                  <w:rFonts w:ascii="Comfortaa" w:cs="Comfortaa" w:eastAsia="Comfortaa" w:hAnsi="Comfortaa"/>
                  <w:i w:val="1"/>
                  <w:color w:val="1155cc"/>
                  <w:sz w:val="16"/>
                  <w:szCs w:val="16"/>
                  <w:u w:val="single"/>
                  <w:rtl w:val="0"/>
                </w:rPr>
                <w:t xml:space="preserve"> </w:t>
              </w:r>
            </w:hyperlink>
            <w:hyperlink r:id="rId11">
              <w:r w:rsidDel="00000000" w:rsidR="00000000" w:rsidRPr="00000000">
                <w:rPr>
                  <w:rFonts w:ascii="Comfortaa" w:cs="Comfortaa" w:eastAsia="Comfortaa" w:hAnsi="Comfortaa"/>
                  <w:i w:val="1"/>
                  <w:color w:val="1155cc"/>
                  <w:sz w:val="16"/>
                  <w:szCs w:val="16"/>
                  <w:u w:val="single"/>
                  <w:rtl w:val="0"/>
                </w:rPr>
                <w:t xml:space="preserve">Block Area</w:t>
              </w:r>
            </w:hyperlink>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fortaa" w:cs="Comfortaa" w:eastAsia="Comfortaa" w:hAnsi="Comfortaa"/>
                <w:i w:val="1"/>
                <w:sz w:val="16"/>
                <w:szCs w:val="16"/>
              </w:rPr>
            </w:pPr>
            <w:hyperlink r:id="rId12">
              <w:r w:rsidDel="00000000" w:rsidR="00000000" w:rsidRPr="00000000">
                <w:rPr>
                  <w:rFonts w:ascii="Comfortaa" w:cs="Comfortaa" w:eastAsia="Comfortaa" w:hAnsi="Comfortaa"/>
                  <w:i w:val="1"/>
                  <w:color w:val="1155cc"/>
                  <w:sz w:val="16"/>
                  <w:szCs w:val="16"/>
                  <w:u w:val="single"/>
                  <w:rtl w:val="0"/>
                </w:rPr>
                <w:t xml:space="preserve">Dough Area</w:t>
              </w:r>
            </w:hyperlink>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fortaa" w:cs="Comfortaa" w:eastAsia="Comfortaa" w:hAnsi="Comfortaa"/>
                <w:i w:val="1"/>
                <w:sz w:val="16"/>
                <w:szCs w:val="16"/>
              </w:rPr>
            </w:pPr>
            <w:hyperlink r:id="rId13">
              <w:r w:rsidDel="00000000" w:rsidR="00000000" w:rsidRPr="00000000">
                <w:rPr>
                  <w:rFonts w:ascii="Comfortaa" w:cs="Comfortaa" w:eastAsia="Comfortaa" w:hAnsi="Comfortaa"/>
                  <w:i w:val="1"/>
                  <w:color w:val="1155cc"/>
                  <w:sz w:val="16"/>
                  <w:szCs w:val="16"/>
                  <w:u w:val="single"/>
                  <w:rtl w:val="0"/>
                </w:rPr>
                <w:t xml:space="preserve">Sand Area</w:t>
              </w:r>
            </w:hyperlink>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6"/>
                <w:szCs w:val="16"/>
              </w:rPr>
            </w:pPr>
            <w:hyperlink r:id="rId14">
              <w:r w:rsidDel="00000000" w:rsidR="00000000" w:rsidRPr="00000000">
                <w:rPr>
                  <w:rFonts w:ascii="Comfortaa" w:cs="Comfortaa" w:eastAsia="Comfortaa" w:hAnsi="Comfortaa"/>
                  <w:i w:val="1"/>
                  <w:color w:val="1155cc"/>
                  <w:sz w:val="16"/>
                  <w:szCs w:val="16"/>
                  <w:u w:val="single"/>
                  <w:rtl w:val="0"/>
                </w:rPr>
                <w:t xml:space="preserve">Water Area</w:t>
              </w:r>
            </w:hyperlink>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6"/>
                <w:szCs w:val="16"/>
              </w:rPr>
            </w:pPr>
            <w:hyperlink r:id="rId15">
              <w:r w:rsidDel="00000000" w:rsidR="00000000" w:rsidRPr="00000000">
                <w:rPr>
                  <w:rFonts w:ascii="Comfortaa" w:cs="Comfortaa" w:eastAsia="Comfortaa" w:hAnsi="Comfortaa"/>
                  <w:i w:val="1"/>
                  <w:color w:val="1155cc"/>
                  <w:sz w:val="16"/>
                  <w:szCs w:val="16"/>
                  <w:u w:val="single"/>
                  <w:rtl w:val="0"/>
                </w:rPr>
                <w:t xml:space="preserve">Small Construction</w:t>
              </w:r>
            </w:hyperlink>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fortaa" w:cs="Comfortaa" w:eastAsia="Comfortaa" w:hAnsi="Comfortaa"/>
                <w:i w:val="1"/>
                <w:sz w:val="16"/>
                <w:szCs w:val="16"/>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fortaa" w:cs="Comfortaa" w:eastAsia="Comfortaa" w:hAnsi="Comfortaa"/>
                <w:i w:val="1"/>
                <w:sz w:val="16"/>
                <w:szCs w:val="16"/>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fortaa" w:cs="Comfortaa" w:eastAsia="Comfortaa" w:hAnsi="Comfortaa"/>
                <w:i w:val="1"/>
                <w:sz w:val="20"/>
                <w:szCs w:val="20"/>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fortaa" w:cs="Comfortaa" w:eastAsia="Comfortaa" w:hAnsi="Comfortaa"/>
                <w:i w:val="1"/>
                <w:sz w:val="20"/>
                <w:szCs w:val="20"/>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fortaa" w:cs="Comfortaa" w:eastAsia="Comfortaa" w:hAnsi="Comfortaa"/>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before="0" w:line="240" w:lineRule="auto"/>
              <w:ind w:left="0" w:firstLine="0"/>
              <w:rPr>
                <w:rFonts w:ascii="Comfortaa" w:cs="Comfortaa" w:eastAsia="Comfortaa" w:hAnsi="Comfortaa"/>
                <w:b w:val="1"/>
                <w:i w:val="1"/>
                <w:color w:val="030303"/>
                <w:sz w:val="16"/>
                <w:szCs w:val="16"/>
              </w:rPr>
            </w:pPr>
            <w:r w:rsidDel="00000000" w:rsidR="00000000" w:rsidRPr="00000000">
              <w:rPr>
                <w:rFonts w:ascii="Comfortaa" w:cs="Comfortaa" w:eastAsia="Comfortaa" w:hAnsi="Comfortaa"/>
                <w:b w:val="1"/>
                <w:i w:val="1"/>
                <w:color w:val="030303"/>
                <w:sz w:val="16"/>
                <w:szCs w:val="16"/>
                <w:rtl w:val="0"/>
              </w:rPr>
              <w:t xml:space="preserve">Mathematics </w:t>
            </w:r>
          </w:p>
          <w:p w:rsidR="00000000" w:rsidDel="00000000" w:rsidP="00000000" w:rsidRDefault="00000000" w:rsidRPr="00000000" w14:paraId="0000001E">
            <w:pPr>
              <w:widowControl w:val="0"/>
              <w:spacing w:after="0" w:before="0" w:line="240" w:lineRule="auto"/>
              <w:ind w:left="0" w:firstLine="0"/>
              <w:rPr>
                <w:rFonts w:ascii="Comfortaa" w:cs="Comfortaa" w:eastAsia="Comfortaa" w:hAnsi="Comfortaa"/>
                <w:b w:val="1"/>
                <w:i w:val="1"/>
                <w:color w:val="030303"/>
                <w:sz w:val="14"/>
                <w:szCs w:val="14"/>
                <w:u w:val="single"/>
              </w:rPr>
            </w:pPr>
            <w:r w:rsidDel="00000000" w:rsidR="00000000" w:rsidRPr="00000000">
              <w:rPr>
                <w:rFonts w:ascii="Comfortaa" w:cs="Comfortaa" w:eastAsia="Comfortaa" w:hAnsi="Comfortaa"/>
                <w:b w:val="1"/>
                <w:i w:val="1"/>
                <w:color w:val="030303"/>
                <w:sz w:val="14"/>
                <w:szCs w:val="14"/>
                <w:u w:val="single"/>
                <w:rtl w:val="0"/>
              </w:rPr>
              <w:t xml:space="preserve">Number</w:t>
            </w:r>
          </w:p>
          <w:p w:rsidR="00000000" w:rsidDel="00000000" w:rsidP="00000000" w:rsidRDefault="00000000" w:rsidRPr="00000000" w14:paraId="0000001F">
            <w:pPr>
              <w:widowControl w:val="0"/>
              <w:numPr>
                <w:ilvl w:val="0"/>
                <w:numId w:val="1"/>
              </w:numPr>
              <w:spacing w:after="0" w:before="0" w:line="276" w:lineRule="auto"/>
              <w:ind w:left="720" w:hanging="360"/>
              <w:rPr>
                <w:rFonts w:ascii="Comfortaa" w:cs="Comfortaa" w:eastAsia="Comfortaa" w:hAnsi="Comfortaa"/>
                <w:i w:val="1"/>
                <w:color w:val="030303"/>
                <w:sz w:val="14"/>
                <w:szCs w:val="14"/>
              </w:rPr>
            </w:pPr>
            <w:r w:rsidDel="00000000" w:rsidR="00000000" w:rsidRPr="00000000">
              <w:rPr>
                <w:rFonts w:ascii="Comfortaa" w:cs="Comfortaa" w:eastAsia="Comfortaa" w:hAnsi="Comfortaa"/>
                <w:i w:val="1"/>
                <w:color w:val="030303"/>
                <w:sz w:val="14"/>
                <w:szCs w:val="14"/>
                <w:rtl w:val="0"/>
              </w:rPr>
              <w:t xml:space="preserve">Have a deep understanding of number to 10, including the composition of each number;</w:t>
            </w:r>
          </w:p>
          <w:p w:rsidR="00000000" w:rsidDel="00000000" w:rsidP="00000000" w:rsidRDefault="00000000" w:rsidRPr="00000000" w14:paraId="00000020">
            <w:pPr>
              <w:widowControl w:val="0"/>
              <w:numPr>
                <w:ilvl w:val="0"/>
                <w:numId w:val="1"/>
              </w:numPr>
              <w:spacing w:after="0" w:before="0" w:line="276" w:lineRule="auto"/>
              <w:ind w:left="720" w:hanging="360"/>
              <w:rPr>
                <w:rFonts w:ascii="Comfortaa" w:cs="Comfortaa" w:eastAsia="Comfortaa" w:hAnsi="Comfortaa"/>
                <w:i w:val="1"/>
                <w:color w:val="030303"/>
                <w:sz w:val="14"/>
                <w:szCs w:val="14"/>
              </w:rPr>
            </w:pPr>
            <w:r w:rsidDel="00000000" w:rsidR="00000000" w:rsidRPr="00000000">
              <w:rPr>
                <w:rFonts w:ascii="Comfortaa" w:cs="Comfortaa" w:eastAsia="Comfortaa" w:hAnsi="Comfortaa"/>
                <w:i w:val="1"/>
                <w:color w:val="030303"/>
                <w:sz w:val="14"/>
                <w:szCs w:val="14"/>
                <w:rtl w:val="0"/>
              </w:rPr>
              <w:t xml:space="preserve">Subitise (recognise quantities without counting) up to 5;</w:t>
            </w:r>
          </w:p>
          <w:p w:rsidR="00000000" w:rsidDel="00000000" w:rsidP="00000000" w:rsidRDefault="00000000" w:rsidRPr="00000000" w14:paraId="00000021">
            <w:pPr>
              <w:widowControl w:val="0"/>
              <w:numPr>
                <w:ilvl w:val="0"/>
                <w:numId w:val="1"/>
              </w:numPr>
              <w:spacing w:after="0" w:before="0" w:line="276" w:lineRule="auto"/>
              <w:ind w:left="720" w:hanging="360"/>
              <w:rPr>
                <w:rFonts w:ascii="Comfortaa" w:cs="Comfortaa" w:eastAsia="Comfortaa" w:hAnsi="Comfortaa"/>
                <w:i w:val="1"/>
                <w:color w:val="030303"/>
                <w:sz w:val="14"/>
                <w:szCs w:val="14"/>
              </w:rPr>
            </w:pPr>
            <w:r w:rsidDel="00000000" w:rsidR="00000000" w:rsidRPr="00000000">
              <w:rPr>
                <w:rFonts w:ascii="Comfortaa" w:cs="Comfortaa" w:eastAsia="Comfortaa" w:hAnsi="Comfortaa"/>
                <w:i w:val="1"/>
                <w:color w:val="030303"/>
                <w:sz w:val="14"/>
                <w:szCs w:val="14"/>
                <w:rtl w:val="0"/>
              </w:rPr>
              <w:t xml:space="preserve">Automatically recall (without reference to rhymes, counting or other aids) number bonds up to 5 (including subtraction facts) and some number bonds to 10, including double facts.</w:t>
            </w:r>
          </w:p>
          <w:p w:rsidR="00000000" w:rsidDel="00000000" w:rsidP="00000000" w:rsidRDefault="00000000" w:rsidRPr="00000000" w14:paraId="00000022">
            <w:pPr>
              <w:widowControl w:val="0"/>
              <w:spacing w:after="0" w:before="0" w:line="240" w:lineRule="auto"/>
              <w:ind w:left="0" w:firstLine="0"/>
              <w:rPr>
                <w:rFonts w:ascii="Comfortaa" w:cs="Comfortaa" w:eastAsia="Comfortaa" w:hAnsi="Comfortaa"/>
                <w:b w:val="1"/>
                <w:i w:val="1"/>
                <w:color w:val="030303"/>
                <w:sz w:val="14"/>
                <w:szCs w:val="14"/>
                <w:u w:val="single"/>
              </w:rPr>
            </w:pPr>
            <w:r w:rsidDel="00000000" w:rsidR="00000000" w:rsidRPr="00000000">
              <w:rPr>
                <w:rFonts w:ascii="Comfortaa" w:cs="Comfortaa" w:eastAsia="Comfortaa" w:hAnsi="Comfortaa"/>
                <w:b w:val="1"/>
                <w:i w:val="1"/>
                <w:color w:val="030303"/>
                <w:sz w:val="14"/>
                <w:szCs w:val="14"/>
                <w:u w:val="single"/>
                <w:rtl w:val="0"/>
              </w:rPr>
              <w:t xml:space="preserve">Numerical Pattern</w:t>
            </w:r>
          </w:p>
          <w:p w:rsidR="00000000" w:rsidDel="00000000" w:rsidP="00000000" w:rsidRDefault="00000000" w:rsidRPr="00000000" w14:paraId="00000023">
            <w:pPr>
              <w:widowControl w:val="0"/>
              <w:numPr>
                <w:ilvl w:val="0"/>
                <w:numId w:val="2"/>
              </w:numPr>
              <w:spacing w:after="0" w:before="0" w:line="240" w:lineRule="auto"/>
              <w:ind w:left="720" w:hanging="360"/>
              <w:rPr>
                <w:rFonts w:ascii="Comfortaa" w:cs="Comfortaa" w:eastAsia="Comfortaa" w:hAnsi="Comfortaa"/>
                <w:i w:val="1"/>
                <w:color w:val="030303"/>
                <w:sz w:val="14"/>
                <w:szCs w:val="14"/>
              </w:rPr>
            </w:pPr>
            <w:r w:rsidDel="00000000" w:rsidR="00000000" w:rsidRPr="00000000">
              <w:rPr>
                <w:rFonts w:ascii="Comfortaa" w:cs="Comfortaa" w:eastAsia="Comfortaa" w:hAnsi="Comfortaa"/>
                <w:i w:val="1"/>
                <w:color w:val="030303"/>
                <w:sz w:val="14"/>
                <w:szCs w:val="14"/>
                <w:rtl w:val="0"/>
              </w:rPr>
              <w:t xml:space="preserve">Verbally count beyond 20, recognising the pattern of the counting system; Compare quantities up to 10 in different contexts, recognising when one quantity is greater than, less than or the same as the other quantity;</w:t>
            </w:r>
          </w:p>
          <w:p w:rsidR="00000000" w:rsidDel="00000000" w:rsidP="00000000" w:rsidRDefault="00000000" w:rsidRPr="00000000" w14:paraId="00000024">
            <w:pPr>
              <w:widowControl w:val="0"/>
              <w:numPr>
                <w:ilvl w:val="0"/>
                <w:numId w:val="2"/>
              </w:numPr>
              <w:spacing w:after="0" w:before="0" w:line="240" w:lineRule="auto"/>
              <w:ind w:left="720" w:hanging="360"/>
              <w:rPr>
                <w:rFonts w:ascii="Comfortaa" w:cs="Comfortaa" w:eastAsia="Comfortaa" w:hAnsi="Comfortaa"/>
                <w:i w:val="1"/>
                <w:color w:val="030303"/>
                <w:sz w:val="14"/>
                <w:szCs w:val="14"/>
              </w:rPr>
            </w:pPr>
            <w:r w:rsidDel="00000000" w:rsidR="00000000" w:rsidRPr="00000000">
              <w:rPr>
                <w:rFonts w:ascii="Comfortaa" w:cs="Comfortaa" w:eastAsia="Comfortaa" w:hAnsi="Comfortaa"/>
                <w:i w:val="1"/>
                <w:color w:val="030303"/>
                <w:sz w:val="14"/>
                <w:szCs w:val="14"/>
                <w:rtl w:val="0"/>
              </w:rPr>
              <w:t xml:space="preserve">Explore and represent patterns within numbers up to 10, including evens and odds, double facts and</w:t>
            </w:r>
          </w:p>
          <w:p w:rsidR="00000000" w:rsidDel="00000000" w:rsidP="00000000" w:rsidRDefault="00000000" w:rsidRPr="00000000" w14:paraId="00000025">
            <w:pPr>
              <w:widowControl w:val="0"/>
              <w:numPr>
                <w:ilvl w:val="0"/>
                <w:numId w:val="2"/>
              </w:numPr>
              <w:spacing w:after="200" w:before="0" w:line="240" w:lineRule="auto"/>
              <w:ind w:left="720" w:hanging="360"/>
              <w:rPr>
                <w:rFonts w:ascii="Comfortaa" w:cs="Comfortaa" w:eastAsia="Comfortaa" w:hAnsi="Comfortaa"/>
                <w:i w:val="1"/>
                <w:color w:val="030303"/>
                <w:sz w:val="14"/>
                <w:szCs w:val="14"/>
              </w:rPr>
            </w:pPr>
            <w:r w:rsidDel="00000000" w:rsidR="00000000" w:rsidRPr="00000000">
              <w:rPr>
                <w:rFonts w:ascii="Comfortaa" w:cs="Comfortaa" w:eastAsia="Comfortaa" w:hAnsi="Comfortaa"/>
                <w:i w:val="1"/>
                <w:color w:val="030303"/>
                <w:sz w:val="14"/>
                <w:szCs w:val="14"/>
                <w:rtl w:val="0"/>
              </w:rPr>
              <w:t xml:space="preserve">how quantities can be distributed equally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1"/>
              <w:keepLines w:val="1"/>
              <w:widowControl w:val="1"/>
              <w:spacing w:after="240" w:before="0" w:line="240" w:lineRule="auto"/>
              <w:rPr>
                <w:rFonts w:ascii="Comfortaa" w:cs="Comfortaa" w:eastAsia="Comfortaa" w:hAnsi="Comfortaa"/>
                <w:i w:val="1"/>
                <w:sz w:val="20"/>
                <w:szCs w:val="20"/>
              </w:rPr>
            </w:pPr>
            <w:r w:rsidDel="00000000" w:rsidR="00000000" w:rsidRPr="00000000">
              <w:rPr>
                <w:rtl w:val="0"/>
              </w:rPr>
            </w:r>
          </w:p>
          <w:p w:rsidR="00000000" w:rsidDel="00000000" w:rsidP="00000000" w:rsidRDefault="00000000" w:rsidRPr="00000000" w14:paraId="00000027">
            <w:pPr>
              <w:keepNext w:val="1"/>
              <w:keepLines w:val="1"/>
              <w:widowControl w:val="1"/>
              <w:spacing w:after="240" w:before="0" w:line="240" w:lineRule="auto"/>
              <w:rPr>
                <w:rFonts w:ascii="Comfortaa" w:cs="Comfortaa" w:eastAsia="Comfortaa" w:hAnsi="Comfortaa"/>
                <w:i w:val="1"/>
                <w:sz w:val="20"/>
                <w:szCs w:val="20"/>
              </w:rPr>
            </w:pPr>
            <w:hyperlink r:id="rId16">
              <w:r w:rsidDel="00000000" w:rsidR="00000000" w:rsidRPr="00000000">
                <w:rPr>
                  <w:rFonts w:ascii="Comfortaa" w:cs="Comfortaa" w:eastAsia="Comfortaa" w:hAnsi="Comfortaa"/>
                  <w:i w:val="1"/>
                  <w:color w:val="1155cc"/>
                  <w:sz w:val="20"/>
                  <w:szCs w:val="20"/>
                  <w:u w:val="single"/>
                  <w:rtl w:val="0"/>
                </w:rPr>
                <w:t xml:space="preserve">National Curriculum</w:t>
              </w:r>
            </w:hyperlink>
            <w:r w:rsidDel="00000000" w:rsidR="00000000" w:rsidRPr="00000000">
              <w:rPr>
                <w:rtl w:val="0"/>
              </w:rPr>
            </w:r>
          </w:p>
        </w:tc>
      </w:tr>
    </w:tbl>
    <w:p w:rsidR="00000000" w:rsidDel="00000000" w:rsidP="00000000" w:rsidRDefault="00000000" w:rsidRPr="00000000" w14:paraId="00000028">
      <w:pPr>
        <w:jc w:val="left"/>
        <w:rPr>
          <w:rFonts w:ascii="Comfortaa" w:cs="Comfortaa" w:eastAsia="Comfortaa" w:hAnsi="Comfortaa"/>
          <w:i w:val="1"/>
          <w:sz w:val="20"/>
          <w:szCs w:val="20"/>
        </w:rPr>
      </w:pPr>
      <w:r w:rsidDel="00000000" w:rsidR="00000000" w:rsidRPr="00000000">
        <w:rPr>
          <w:rtl w:val="0"/>
        </w:rPr>
      </w:r>
    </w:p>
    <w:sectPr>
      <w:headerReference r:id="rId17"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rFonts w:ascii="Comfortaa" w:cs="Comfortaa" w:eastAsia="Comfortaa" w:hAnsi="Comfortaa"/>
      </w:rPr>
    </w:pPr>
    <w:r w:rsidDel="00000000" w:rsidR="00000000" w:rsidRPr="00000000">
      <w:rPr>
        <w:rFonts w:ascii="Comfortaa" w:cs="Comfortaa" w:eastAsia="Comfortaa" w:hAnsi="Comfortaa"/>
        <w:rtl w:val="0"/>
      </w:rPr>
      <w:t xml:space="preserve">Early Years Curriculum </w:t>
    </w:r>
    <w:r w:rsidDel="00000000" w:rsidR="00000000" w:rsidRPr="00000000">
      <w:drawing>
        <wp:anchor allowOverlap="1" behindDoc="0" distB="0" distT="0" distL="114300" distR="114300" hidden="0" layoutInCell="1" locked="0" relativeHeight="0" simplePos="0">
          <wp:simplePos x="0" y="0"/>
          <wp:positionH relativeFrom="column">
            <wp:posOffset>7324725</wp:posOffset>
          </wp:positionH>
          <wp:positionV relativeFrom="paragraph">
            <wp:posOffset>-104772</wp:posOffset>
          </wp:positionV>
          <wp:extent cx="904672" cy="398834"/>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4672" cy="39883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4eLg5f_4Z3BF7gFMX8SY0vxPt4TwQfHK/edit?usp=share_link&amp;ouid=110400173848048295117&amp;rtpof=true&amp;sd=true" TargetMode="External"/><Relationship Id="rId10" Type="http://schemas.openxmlformats.org/officeDocument/2006/relationships/hyperlink" Target="https://docs.google.com/document/d/146orO7o-sqK7erybzox6vt5Gw8YcwuGZ/edit?usp=share_link&amp;ouid=110400173848048295117&amp;rtpof=true&amp;sd=true" TargetMode="External"/><Relationship Id="rId13" Type="http://schemas.openxmlformats.org/officeDocument/2006/relationships/hyperlink" Target="https://docs.google.com/document/d/1fM91vQaWsVmoaG8V2-F_lW3nkr7G6T4F/edit?usp=share_link&amp;ouid=110400173848048295117&amp;rtpof=true&amp;sd=true" TargetMode="External"/><Relationship Id="rId12" Type="http://schemas.openxmlformats.org/officeDocument/2006/relationships/hyperlink" Target="https://docs.google.com/document/d/1a4oyh2jqjNpA7FnhuMhf7Kddg1hvuGtD/edit?usp=share_link&amp;ouid=110400173848048295117&amp;rtpof=true&amp;sd=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mihrhWbbwu6s759ELkNbcER1LWItna9c/edit?usp=share_link&amp;ouid=110400173848048295117&amp;rtpof=true&amp;sd=true" TargetMode="External"/><Relationship Id="rId15" Type="http://schemas.openxmlformats.org/officeDocument/2006/relationships/hyperlink" Target="https://docs.google.com/document/d/11exoxw5AbD4Xoc3Zv5f7KHMonu-qibQk/edit?usp=share_link&amp;ouid=110400173848048295117&amp;rtpof=true&amp;sd=true" TargetMode="External"/><Relationship Id="rId14" Type="http://schemas.openxmlformats.org/officeDocument/2006/relationships/hyperlink" Target="https://docs.google.com/document/d/1bxd9SN0Ij-7Jv03XEDZGVUL7Y8TUS3WP/edit?usp=share_link&amp;ouid=110400173848048295117&amp;rtpof=true&amp;sd=true" TargetMode="External"/><Relationship Id="rId17" Type="http://schemas.openxmlformats.org/officeDocument/2006/relationships/header" Target="header1.xml"/><Relationship Id="rId16" Type="http://schemas.openxmlformats.org/officeDocument/2006/relationships/hyperlink" Target="https://assets.publishing.service.gov.uk/government/uploads/system/uploads/attachment_data/file/335158/PRIMARY_national_curriculum_-_Mathematics_220714.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docs.google.com/document/d/1ACAW5epCCFQMnacQKiZ2qKBqMbPRPnHLWxICqbRnTxE/edit?usp=share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6Jc/lYpF3z0jqK0gireI0rDo9Q==">AMUW2mUyqM9vch3l5j5zeisMHgSmNNvywuR6II6nzsh9KDRDMJ5FdEyOHXaRGb7GGzd7EWZlGcdQsQBkAGfkhXanhNG0Bs4E/9Kdj+VCeKmMCdQh3WwE/ig=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